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rPr>
          <w:rFonts w:ascii="Times New Roman" w:cs="Times New Roman" w:hAnsi="Times New Roman" w:eastAsia="Times New Roman"/>
        </w:rPr>
      </w:pPr>
      <w:r>
        <w:rPr>
          <w:rFonts w:ascii="Times New Roman" w:hAnsi="Times New Roman"/>
          <w:rtl w:val="0"/>
          <w:lang w:val="en-US"/>
        </w:rPr>
        <w:t>For Immediate Release</w:t>
      </w:r>
    </w:p>
    <w:p>
      <w:pPr>
        <w:pStyle w:val="Body"/>
        <w:rPr>
          <w:rFonts w:ascii="Times New Roman" w:cs="Times New Roman" w:hAnsi="Times New Roman" w:eastAsia="Times New Roman"/>
        </w:rPr>
      </w:pPr>
      <w:r>
        <w:rPr>
          <w:rFonts w:ascii="Times New Roman" w:hAnsi="Times New Roman"/>
          <w:rtl w:val="0"/>
          <w:lang w:val="en-US"/>
        </w:rPr>
        <w:t>Contact Jeanetta Mish, Publisher</w:t>
      </w:r>
    </w:p>
    <w:p>
      <w:pPr>
        <w:pStyle w:val="Body"/>
        <w:rPr>
          <w:rFonts w:ascii="Times New Roman" w:cs="Times New Roman" w:hAnsi="Times New Roman" w:eastAsia="Times New Roman"/>
        </w:rPr>
      </w:pPr>
      <w:r>
        <w:rPr>
          <w:rFonts w:ascii="Times New Roman" w:hAnsi="Times New Roman"/>
          <w:rtl w:val="0"/>
          <w:lang w:val="it-IT"/>
        </w:rPr>
        <w:t>Mongrel Empire Press</w:t>
      </w:r>
    </w:p>
    <w:p>
      <w:pPr>
        <w:pStyle w:val="Body"/>
        <w:rPr>
          <w:rFonts w:ascii="Times New Roman" w:cs="Times New Roman" w:hAnsi="Times New Roman" w:eastAsia="Times New Roman"/>
        </w:rPr>
      </w:pPr>
    </w:p>
    <w:p>
      <w:pPr>
        <w:pStyle w:val="Body"/>
        <w:rPr>
          <w:rFonts w:ascii="Times New Roman" w:cs="Times New Roman" w:hAnsi="Times New Roman" w:eastAsia="Times New Roman"/>
          <w:b w:val="1"/>
          <w:bCs w:val="1"/>
        </w:rPr>
      </w:pPr>
      <w:r>
        <w:rPr>
          <w:rFonts w:ascii="Times New Roman" w:hAnsi="Times New Roman"/>
          <w:b w:val="1"/>
          <w:bCs w:val="1"/>
          <w:rtl w:val="0"/>
          <w:lang w:val="en-US"/>
        </w:rPr>
        <w:t xml:space="preserve">Mongrel Empire Press Announces </w:t>
      </w:r>
      <w:r>
        <w:rPr>
          <w:rFonts w:ascii="Times New Roman" w:hAnsi="Times New Roman"/>
          <w:b w:val="1"/>
          <w:bCs w:val="1"/>
          <w:i w:val="1"/>
          <w:iCs w:val="1"/>
          <w:rtl w:val="0"/>
          <w:lang w:val="en-US"/>
        </w:rPr>
        <w:t xml:space="preserve">The Dead Singing </w:t>
      </w:r>
      <w:r>
        <w:rPr>
          <w:rFonts w:ascii="Times New Roman" w:hAnsi="Times New Roman"/>
          <w:b w:val="1"/>
          <w:bCs w:val="1"/>
          <w:rtl w:val="0"/>
          <w:lang w:val="en-US"/>
        </w:rPr>
        <w:t>a poetry collection by Michael Henson</w:t>
      </w:r>
    </w:p>
    <w:p>
      <w:pPr>
        <w:pStyle w:val="Body"/>
        <w:rPr>
          <w:rFonts w:ascii="Times New Roman" w:cs="Times New Roman" w:hAnsi="Times New Roman" w:eastAsia="Times New Roman"/>
        </w:rPr>
      </w:pPr>
    </w:p>
    <w:p>
      <w:pPr>
        <w:pStyle w:val="Body"/>
        <w:rPr>
          <w:rFonts w:ascii="Times New Roman" w:cs="Times New Roman" w:hAnsi="Times New Roman" w:eastAsia="Times New Roman"/>
          <w:i w:val="1"/>
          <w:iCs w:val="1"/>
        </w:rPr>
      </w:pPr>
      <w:r>
        <w:rPr>
          <w:rFonts w:ascii="Times New Roman" w:hAnsi="Times New Roman"/>
          <w:rtl w:val="0"/>
          <w:lang w:val="en-US"/>
        </w:rPr>
        <w:t xml:space="preserve">Norman, OK </w:t>
      </w:r>
      <w:r>
        <w:rPr>
          <w:rFonts w:ascii="Times New Roman" w:cs="Times New Roman" w:hAnsi="Times New Roman" w:eastAsia="Times New Roman"/>
        </w:rPr>
        <w:fldChar w:fldCharType="begin" w:fldLock="0"/>
      </w:r>
      <w:r>
        <w:rPr>
          <w:rFonts w:ascii="Times New Roman" w:cs="Times New Roman" w:hAnsi="Times New Roman" w:eastAsia="Times New Roman"/>
        </w:rPr>
        <w:instrText xml:space="preserve"> DATE \@ "M/d/yy" </w:instrText>
      </w:r>
      <w:r>
        <w:rPr>
          <w:rFonts w:ascii="Times New Roman" w:cs="Times New Roman" w:hAnsi="Times New Roman" w:eastAsia="Times New Roman"/>
        </w:rPr>
        <w:fldChar w:fldCharType="separate" w:fldLock="0"/>
      </w:r>
      <w:r>
        <w:rPr>
          <w:rFonts w:ascii="Times New Roman" w:hAnsi="Times New Roman"/>
          <w:rtl w:val="0"/>
        </w:rPr>
        <w:t>5/23/16</w:t>
      </w:r>
      <w:r>
        <w:rPr>
          <w:rFonts w:ascii="Times New Roman" w:cs="Times New Roman" w:hAnsi="Times New Roman" w:eastAsia="Times New Roman"/>
        </w:rPr>
        <w:fldChar w:fldCharType="end" w:fldLock="1"/>
      </w:r>
      <w:r>
        <w:rPr>
          <w:rFonts w:ascii="Times New Roman" w:hAnsi="Times New Roman" w:hint="default"/>
          <w:rtl w:val="0"/>
          <w:lang w:val="en-US"/>
        </w:rPr>
        <w:t>—</w:t>
      </w:r>
      <w:r>
        <w:rPr>
          <w:rFonts w:ascii="Times New Roman" w:hAnsi="Times New Roman"/>
          <w:rtl w:val="0"/>
          <w:lang w:val="en-US"/>
        </w:rPr>
        <w:t xml:space="preserve">Mongrel Empire Press, an Eclectic Publishing House specializing in regional and uncommon literary works, is </w:t>
      </w:r>
      <w:r>
        <w:rPr>
          <w:rFonts w:ascii="Times New Roman" w:hAnsi="Times New Roman"/>
          <w:rtl w:val="0"/>
          <w:lang w:val="en-US"/>
        </w:rPr>
        <w:t>pleased</w:t>
      </w:r>
      <w:r>
        <w:rPr>
          <w:rFonts w:ascii="Times New Roman" w:hAnsi="Times New Roman"/>
          <w:rtl w:val="0"/>
          <w:lang w:val="en-US"/>
        </w:rPr>
        <w:t xml:space="preserve"> to announce the </w:t>
      </w:r>
      <w:r>
        <w:rPr>
          <w:rFonts w:ascii="Times New Roman" w:hAnsi="Times New Roman"/>
          <w:rtl w:val="0"/>
          <w:lang w:val="en-US"/>
        </w:rPr>
        <w:t xml:space="preserve">September 2016 </w:t>
      </w:r>
      <w:r>
        <w:rPr>
          <w:rFonts w:ascii="Times New Roman" w:hAnsi="Times New Roman"/>
          <w:rtl w:val="0"/>
          <w:lang w:val="en-US"/>
        </w:rPr>
        <w:t xml:space="preserve">publication of </w:t>
      </w:r>
      <w:r>
        <w:rPr>
          <w:rFonts w:ascii="Times New Roman" w:hAnsi="Times New Roman"/>
          <w:i w:val="1"/>
          <w:iCs w:val="1"/>
          <w:rtl w:val="0"/>
          <w:lang w:val="en-US"/>
        </w:rPr>
        <w:t>The Dead Singing</w:t>
      </w:r>
      <w:r>
        <w:rPr>
          <w:rFonts w:ascii="Times New Roman" w:hAnsi="Times New Roman"/>
          <w:rtl w:val="0"/>
          <w:lang w:val="en-US"/>
        </w:rPr>
        <w:t xml:space="preserve">, a poetry collection by </w:t>
      </w:r>
      <w:r>
        <w:rPr>
          <w:rFonts w:ascii="Times New Roman" w:hAnsi="Times New Roman"/>
          <w:rtl w:val="0"/>
          <w:lang w:val="en-US"/>
        </w:rPr>
        <w:t>Michael Henson</w:t>
      </w:r>
      <w:r>
        <w:rPr>
          <w:rFonts w:ascii="Times New Roman" w:hAnsi="Times New Roman"/>
          <w:rtl w:val="0"/>
        </w:rPr>
        <w:t>.</w:t>
      </w:r>
      <w:r>
        <w:rPr>
          <w:rFonts w:ascii="Times New Roman" w:hAnsi="Times New Roman"/>
          <w:rtl w:val="0"/>
          <w:lang w:val="en-US"/>
        </w:rPr>
        <w:t xml:space="preserve"> </w:t>
      </w:r>
    </w:p>
    <w:p>
      <w:pPr>
        <w:pStyle w:val="Body"/>
        <w:rPr>
          <w:rFonts w:ascii="Times New Roman" w:cs="Times New Roman" w:hAnsi="Times New Roman" w:eastAsia="Times New Roman"/>
        </w:rPr>
      </w:pPr>
    </w:p>
    <w:p>
      <w:pPr>
        <w:pStyle w:val="Body"/>
        <w:rPr>
          <w:rFonts w:ascii="Times New Roman" w:cs="Times New Roman" w:hAnsi="Times New Roman" w:eastAsia="Times New Roman"/>
        </w:rPr>
      </w:pPr>
      <w:r>
        <w:rPr>
          <w:rFonts w:ascii="Times New Roman" w:hAnsi="Times New Roman"/>
          <w:rtl w:val="0"/>
          <w:lang w:val="en-US"/>
        </w:rPr>
        <w:t xml:space="preserve">In </w:t>
      </w:r>
      <w:r>
        <w:rPr>
          <w:rFonts w:ascii="Times New Roman" w:hAnsi="Times New Roman"/>
          <w:rtl w:val="0"/>
          <w:lang w:val="en-US"/>
        </w:rPr>
        <w:t xml:space="preserve">his fifth </w:t>
      </w:r>
      <w:r>
        <w:rPr>
          <w:rFonts w:ascii="Times New Roman" w:hAnsi="Times New Roman"/>
          <w:rtl w:val="0"/>
          <w:lang w:val="en-US"/>
        </w:rPr>
        <w:t xml:space="preserve">collection of poems, </w:t>
      </w:r>
      <w:r>
        <w:rPr>
          <w:rFonts w:ascii="Times New Roman" w:hAnsi="Times New Roman"/>
          <w:rtl w:val="0"/>
          <w:lang w:val="en-US"/>
        </w:rPr>
        <w:t>Michael Henson writes poems of bitterness and rage, of love and forgiveness.</w:t>
      </w:r>
      <w:r>
        <w:rPr>
          <w:rFonts w:ascii="Times New Roman" w:hAnsi="Times New Roman"/>
          <w:rtl w:val="0"/>
          <w:lang w:val="en-US"/>
        </w:rPr>
        <w:t xml:space="preserve"> These are poems of place and of prophecy, street scenes and visions, protests and elegies. The poe</w:t>
      </w:r>
      <w:r>
        <w:rPr>
          <w:rFonts w:ascii="Times New Roman" w:hAnsi="Times New Roman"/>
          <w:rtl w:val="0"/>
          <w:lang w:val="en-US"/>
        </w:rPr>
        <w:t>t</w:t>
      </w:r>
      <w:r>
        <w:rPr>
          <w:rFonts w:ascii="Times New Roman" w:hAnsi="Times New Roman" w:hint="default"/>
          <w:rtl w:val="0"/>
          <w:lang w:val="en-US"/>
        </w:rPr>
        <w:t>’</w:t>
      </w:r>
      <w:r>
        <w:rPr>
          <w:rFonts w:ascii="Times New Roman" w:hAnsi="Times New Roman"/>
          <w:rtl w:val="0"/>
          <w:lang w:val="en-US"/>
        </w:rPr>
        <w:t xml:space="preserve">s vision roams </w:t>
      </w:r>
      <w:r>
        <w:rPr>
          <w:rFonts w:ascii="Times New Roman" w:hAnsi="Times New Roman"/>
          <w:rtl w:val="0"/>
          <w:lang w:val="en-US"/>
        </w:rPr>
        <w:t>across the American continent with a detailed eye for the natural world and a perceptive ear for the drama of human living.</w:t>
      </w:r>
    </w:p>
    <w:p>
      <w:pPr>
        <w:pStyle w:val="Body"/>
        <w:rPr>
          <w:rFonts w:ascii="Calibri" w:cs="Calibri" w:hAnsi="Calibri" w:eastAsia="Calibri"/>
          <w:color w:val="000000"/>
          <w:u w:color="000000"/>
          <w:shd w:val="clear" w:color="auto" w:fill="ffffff"/>
        </w:rPr>
      </w:pPr>
      <w:r>
        <w:rPr>
          <w:rFonts w:ascii="Arial Unicode MS" w:cs="Arial Unicode MS" w:hAnsi="Arial Unicode MS" w:eastAsia="Arial Unicode MS"/>
          <w:b w:val="0"/>
          <w:bCs w:val="0"/>
          <w:i w:val="0"/>
          <w:iCs w:val="0"/>
        </w:rPr>
        <w:br w:type="textWrapping"/>
      </w:r>
      <w:r>
        <w:rPr>
          <w:rFonts w:ascii="Calibri" w:cs="Calibri" w:hAnsi="Calibri" w:eastAsia="Calibri"/>
          <w:rtl w:val="0"/>
          <w:lang w:val="en-US"/>
        </w:rPr>
        <w:t xml:space="preserve">Fred Whitehead, editor of John Brown Press writes, </w:t>
      </w:r>
      <w:r>
        <w:rPr>
          <w:rFonts w:ascii="Calibri" w:cs="Calibri" w:hAnsi="Calibri" w:eastAsia="Calibri" w:hint="default"/>
          <w:rtl w:val="0"/>
          <w:lang w:val="en-US"/>
        </w:rPr>
        <w:t>“</w:t>
      </w:r>
      <w:r>
        <w:rPr>
          <w:rFonts w:ascii="Calibri" w:cs="Calibri" w:hAnsi="Calibri" w:eastAsia="Calibri"/>
          <w:color w:val="000000"/>
          <w:u w:color="000000"/>
          <w:shd w:val="clear" w:color="auto" w:fill="ffffff"/>
          <w:rtl w:val="0"/>
          <w:lang w:val="en-US"/>
        </w:rPr>
        <w:t xml:space="preserve">In the deep, urgent tradition of Ezekiel, Blake and Vallejo, Michael Henson traverses the American valley of dry bones, summoning them back into existence. </w:t>
      </w:r>
      <w:r>
        <w:rPr>
          <w:rFonts w:ascii="Calibri" w:cs="Calibri" w:hAnsi="Calibri" w:eastAsia="Calibri" w:hint="default"/>
          <w:color w:val="000000"/>
          <w:u w:color="000000"/>
          <w:shd w:val="clear" w:color="auto" w:fill="ffffff"/>
          <w:rtl w:val="0"/>
          <w:lang w:val="en-US"/>
        </w:rPr>
        <w:t> </w:t>
      </w:r>
      <w:r>
        <w:rPr>
          <w:rFonts w:ascii="Calibri" w:cs="Calibri" w:hAnsi="Calibri" w:eastAsia="Calibri"/>
          <w:color w:val="000000"/>
          <w:u w:color="000000"/>
          <w:shd w:val="clear" w:color="auto" w:fill="ffffff"/>
          <w:rtl w:val="0"/>
          <w:lang w:val="en-US"/>
        </w:rPr>
        <w:t>Read this book if you want to live.</w:t>
      </w:r>
      <w:r>
        <w:rPr>
          <w:rFonts w:ascii="Calibri" w:cs="Calibri" w:hAnsi="Calibri" w:eastAsia="Calibri" w:hint="default"/>
          <w:color w:val="000000"/>
          <w:u w:color="000000"/>
          <w:shd w:val="clear" w:color="auto" w:fill="ffffff"/>
          <w:rtl w:val="0"/>
          <w:lang w:val="en-US"/>
        </w:rPr>
        <w:t>”</w:t>
      </w:r>
    </w:p>
    <w:p>
      <w:pPr>
        <w:pStyle w:val="Body"/>
        <w:rPr>
          <w:rFonts w:ascii="Times New Roman" w:cs="Times New Roman" w:hAnsi="Times New Roman" w:eastAsia="Times New Roman"/>
        </w:rPr>
      </w:pPr>
    </w:p>
    <w:p>
      <w:pPr>
        <w:pStyle w:val="Body"/>
        <w:rPr>
          <w:rFonts w:ascii="Calibri" w:cs="Calibri" w:hAnsi="Calibri" w:eastAsia="Calibri"/>
        </w:rPr>
      </w:pPr>
      <w:r>
        <w:rPr>
          <w:rFonts w:ascii="Calibri" w:cs="Calibri" w:hAnsi="Calibri" w:eastAsia="Calibri"/>
          <w:rtl w:val="0"/>
          <w:lang w:val="en-US"/>
        </w:rPr>
        <w:t xml:space="preserve">Of </w:t>
      </w:r>
      <w:r>
        <w:rPr>
          <w:rFonts w:ascii="Calibri" w:cs="Calibri" w:hAnsi="Calibri" w:eastAsia="Calibri"/>
          <w:i w:val="1"/>
          <w:iCs w:val="1"/>
          <w:rtl w:val="0"/>
          <w:lang w:val="en-US"/>
        </w:rPr>
        <w:t>The Dead Singing, m</w:t>
      </w:r>
      <w:r>
        <w:rPr>
          <w:rFonts w:ascii="Calibri" w:cs="Calibri" w:hAnsi="Calibri" w:eastAsia="Calibri"/>
          <w:rtl w:val="0"/>
          <w:lang w:val="en-US"/>
        </w:rPr>
        <w:t xml:space="preserve">ultiple-award winning writer, poet, activist, and editor Margaret Randall says, </w:t>
      </w:r>
      <w:r>
        <w:rPr>
          <w:rFonts w:ascii="Calibri" w:cs="Calibri" w:hAnsi="Calibri" w:eastAsia="Calibri" w:hint="default"/>
          <w:rtl w:val="0"/>
          <w:lang w:val="en-US"/>
        </w:rPr>
        <w:t>“</w:t>
      </w:r>
      <w:r>
        <w:rPr>
          <w:rFonts w:ascii="Calibri" w:cs="Calibri" w:hAnsi="Calibri" w:eastAsia="Calibri"/>
          <w:rtl w:val="0"/>
          <w:lang w:val="en-US"/>
        </w:rPr>
        <w:t>A great, rattling, treebreaker wind / gusts and blusters around the house</w:t>
      </w:r>
      <w:r>
        <w:rPr>
          <w:rFonts w:ascii="Calibri" w:cs="Calibri" w:hAnsi="Calibri" w:eastAsia="Calibri" w:hint="default"/>
          <w:rtl w:val="0"/>
          <w:lang w:val="en-US"/>
        </w:rPr>
        <w:t xml:space="preserve">” </w:t>
      </w:r>
      <w:r>
        <w:rPr>
          <w:rFonts w:ascii="Calibri" w:cs="Calibri" w:hAnsi="Calibri" w:eastAsia="Calibri"/>
          <w:rtl w:val="0"/>
          <w:lang w:val="en-US"/>
        </w:rPr>
        <w:t>Michael Henson begins one of these marvelous poems that are pastoral and also filled with surprises</w:t>
      </w:r>
      <w:r>
        <w:rPr>
          <w:rFonts w:ascii="Calibri" w:cs="Calibri" w:hAnsi="Calibri" w:eastAsia="Calibri" w:hint="default"/>
          <w:rtl w:val="0"/>
          <w:lang w:val="en-US"/>
        </w:rPr>
        <w:t>—</w:t>
      </w:r>
      <w:r>
        <w:rPr>
          <w:rFonts w:ascii="Calibri" w:cs="Calibri" w:hAnsi="Calibri" w:eastAsia="Calibri"/>
          <w:rtl w:val="0"/>
          <w:lang w:val="en-US"/>
        </w:rPr>
        <w:t>like the one in which he speaks of the poem that surprises him at work or making love or in whatever other inopportune moment. This book is rich with Henson</w:t>
      </w:r>
      <w:r>
        <w:rPr>
          <w:rFonts w:ascii="Calibri" w:cs="Calibri" w:hAnsi="Calibri" w:eastAsia="Calibri" w:hint="default"/>
          <w:rtl w:val="0"/>
          <w:lang w:val="en-US"/>
        </w:rPr>
        <w:t>’</w:t>
      </w:r>
      <w:r>
        <w:rPr>
          <w:rFonts w:ascii="Calibri" w:cs="Calibri" w:hAnsi="Calibri" w:eastAsia="Calibri"/>
          <w:rtl w:val="0"/>
          <w:lang w:val="en-US"/>
        </w:rPr>
        <w:t xml:space="preserve">s Appalachian landscape and the beings, human and otherwise, who inhabit it. </w:t>
      </w:r>
      <w:r>
        <w:rPr>
          <w:rFonts w:ascii="Calibri" w:cs="Calibri" w:hAnsi="Calibri" w:eastAsia="Calibri"/>
          <w:i w:val="1"/>
          <w:iCs w:val="1"/>
          <w:rtl w:val="0"/>
          <w:lang w:val="en-US"/>
        </w:rPr>
        <w:t xml:space="preserve">Dead Singing </w:t>
      </w:r>
      <w:r>
        <w:rPr>
          <w:rFonts w:ascii="Calibri" w:cs="Calibri" w:hAnsi="Calibri" w:eastAsia="Calibri"/>
          <w:rtl w:val="0"/>
          <w:lang w:val="en-US"/>
        </w:rPr>
        <w:t>is a collection to which I will return often, grateful for such courage of voice.</w:t>
      </w:r>
    </w:p>
    <w:p>
      <w:pPr>
        <w:pStyle w:val="Body"/>
        <w:rPr>
          <w:rFonts w:ascii="Times New Roman" w:cs="Times New Roman" w:hAnsi="Times New Roman" w:eastAsia="Times New Roman"/>
        </w:rPr>
      </w:pPr>
    </w:p>
    <w:p>
      <w:pPr>
        <w:pStyle w:val="Body"/>
        <w:spacing w:after="160" w:line="259" w:lineRule="auto"/>
        <w:rPr>
          <w:rFonts w:ascii="Calibri" w:cs="Calibri" w:hAnsi="Calibri" w:eastAsia="Calibri"/>
        </w:rPr>
      </w:pPr>
      <w:r>
        <w:rPr>
          <w:rFonts w:ascii="Calibri" w:cs="Calibri" w:hAnsi="Calibri" w:eastAsia="Calibri"/>
          <w:rtl w:val="0"/>
          <w:lang w:val="en-US"/>
        </w:rPr>
        <w:t>Ron Houchin</w:t>
      </w:r>
      <w:r>
        <w:rPr>
          <w:rFonts w:ascii="Calibri" w:cs="Calibri" w:hAnsi="Calibri" w:eastAsia="Calibri"/>
          <w:rtl w:val="0"/>
          <w:lang w:val="en-US"/>
        </w:rPr>
        <w:t xml:space="preserve">, 2013 Weatherford Award for </w:t>
      </w:r>
      <w:r>
        <w:rPr>
          <w:rFonts w:ascii="Calibri" w:cs="Calibri" w:hAnsi="Calibri" w:eastAsia="Calibri"/>
          <w:rtl w:val="0"/>
          <w:lang w:val="it-IT"/>
        </w:rPr>
        <w:t xml:space="preserve">Appalachian </w:t>
      </w:r>
      <w:r>
        <w:rPr>
          <w:rFonts w:ascii="Calibri" w:cs="Calibri" w:hAnsi="Calibri" w:eastAsia="Calibri"/>
          <w:rtl w:val="0"/>
          <w:lang w:val="en-US"/>
        </w:rPr>
        <w:t xml:space="preserve">writing, declares, </w:t>
      </w:r>
      <w:r>
        <w:rPr>
          <w:rFonts w:ascii="Calibri" w:cs="Calibri" w:hAnsi="Calibri" w:eastAsia="Calibri"/>
          <w:rtl w:val="0"/>
          <w:lang w:val="en-US"/>
        </w:rPr>
        <w:t>“</w:t>
      </w:r>
      <w:r>
        <w:rPr>
          <w:rFonts w:ascii="Calibri" w:cs="Calibri" w:hAnsi="Calibri" w:eastAsia="Calibri"/>
          <w:rtl w:val="0"/>
          <w:lang w:val="en-US"/>
        </w:rPr>
        <w:t xml:space="preserve">From the title of </w:t>
      </w:r>
      <w:r>
        <w:rPr>
          <w:rFonts w:ascii="Calibri" w:cs="Calibri" w:hAnsi="Calibri" w:eastAsia="Calibri"/>
          <w:i w:val="1"/>
          <w:iCs w:val="1"/>
          <w:rtl w:val="0"/>
          <w:lang w:val="en-US"/>
        </w:rPr>
        <w:t>The Dead Singing,</w:t>
      </w:r>
      <w:r>
        <w:rPr>
          <w:rFonts w:ascii="Calibri" w:cs="Calibri" w:hAnsi="Calibri" w:eastAsia="Calibri"/>
          <w:rtl w:val="0"/>
          <w:lang w:val="en-US"/>
        </w:rPr>
        <w:t xml:space="preserve"> I was envious. Its keen observations of nature, succinct detail, ideal and accurate metaphors make it at once pleasing and enviable. That Nature, the Universe, or God is miraculous while being unreliable to the human mindset is a kind of two-cylinder dynamo humming in the basement of this book. I will mine here regularly for the inspiration of its images and its ide</w:t>
      </w:r>
      <w:r>
        <w:rPr>
          <w:rFonts w:ascii="Calibri" w:cs="Calibri" w:hAnsi="Calibri" w:eastAsia="Calibri"/>
          <w:rtl w:val="0"/>
          <w:lang w:val="en-US"/>
        </w:rPr>
        <w:t>as.</w:t>
      </w:r>
      <w:r>
        <w:rPr>
          <w:rFonts w:ascii="Calibri" w:cs="Calibri" w:hAnsi="Calibri" w:eastAsia="Calibri" w:hint="default"/>
          <w:rtl w:val="0"/>
          <w:lang w:val="en-US"/>
        </w:rPr>
        <w:t>”</w:t>
      </w:r>
    </w:p>
    <w:p>
      <w:pPr>
        <w:pStyle w:val="Body"/>
        <w:rPr>
          <w:rFonts w:ascii="Times New Roman" w:cs="Times New Roman" w:hAnsi="Times New Roman" w:eastAsia="Times New Roman"/>
        </w:rPr>
      </w:pPr>
      <w:r>
        <w:rPr>
          <w:rFonts w:ascii="Times New Roman" w:hAnsi="Times New Roman"/>
          <w:rtl w:val="0"/>
          <w:lang w:val="en-US"/>
        </w:rPr>
        <w:t xml:space="preserve">Michael Henson is author of four </w:t>
      </w:r>
      <w:r>
        <w:rPr>
          <w:rFonts w:ascii="Times New Roman" w:hAnsi="Times New Roman"/>
          <w:rtl w:val="0"/>
          <w:lang w:val="en-US"/>
        </w:rPr>
        <w:t xml:space="preserve">previous </w:t>
      </w:r>
      <w:r>
        <w:rPr>
          <w:rFonts w:ascii="Times New Roman" w:hAnsi="Times New Roman"/>
          <w:rtl w:val="0"/>
          <w:lang w:val="en-US"/>
        </w:rPr>
        <w:t xml:space="preserve">collections of poetry and four books of fiction, including </w:t>
      </w:r>
      <w:r>
        <w:rPr>
          <w:rFonts w:ascii="Times New Roman" w:hAnsi="Times New Roman"/>
          <w:i w:val="1"/>
          <w:iCs w:val="1"/>
          <w:rtl w:val="0"/>
          <w:lang w:val="en-US"/>
        </w:rPr>
        <w:t>The Way the World Is: the Maggie Boylan Stories</w:t>
      </w:r>
      <w:r>
        <w:rPr>
          <w:rFonts w:ascii="Times New Roman" w:hAnsi="Times New Roman"/>
          <w:rtl w:val="0"/>
          <w:lang w:val="en-US"/>
        </w:rPr>
        <w:t>, which won the 2014 Brighthorse Prize in Short Fiction. He has worked as a teacher, a factory hand, a community organizer, and a substance abuse counselor and is a member of the Southern Appalachian Writers Cooperative</w:t>
      </w:r>
      <w:r>
        <w:rPr>
          <w:rFonts w:ascii="Times New Roman" w:hAnsi="Times New Roman"/>
          <w:rtl w:val="0"/>
          <w:lang w:val="en-US"/>
        </w:rPr>
        <w:t xml:space="preserve"> and </w:t>
      </w:r>
      <w:r>
        <w:rPr>
          <w:rFonts w:ascii="Times New Roman" w:hAnsi="Times New Roman"/>
          <w:rtl w:val="0"/>
          <w:lang w:val="en-US"/>
        </w:rPr>
        <w:t xml:space="preserve">co-editor of </w:t>
      </w:r>
      <w:r>
        <w:rPr>
          <w:rFonts w:ascii="Times New Roman" w:hAnsi="Times New Roman"/>
          <w:i w:val="1"/>
          <w:iCs w:val="1"/>
          <w:rtl w:val="0"/>
          <w:lang w:val="en-US"/>
        </w:rPr>
        <w:t>Pine Mountain Sand &amp; Gravel</w:t>
      </w:r>
      <w:r>
        <w:rPr>
          <w:rFonts w:ascii="Times New Roman" w:hAnsi="Times New Roman"/>
          <w:rtl w:val="0"/>
          <w:lang w:val="en-US"/>
        </w:rPr>
        <w:t xml:space="preserve">, the annual publication of Cooperative. He lives in Cincinnati with his wife Elissa Pogue. </w:t>
      </w:r>
    </w:p>
    <w:p>
      <w:pPr>
        <w:pStyle w:val="Body"/>
        <w:rPr>
          <w:rFonts w:ascii="Times New Roman" w:cs="Times New Roman" w:hAnsi="Times New Roman" w:eastAsia="Times New Roman"/>
        </w:rPr>
      </w:pPr>
    </w:p>
    <w:p>
      <w:pPr>
        <w:pStyle w:val="Body"/>
        <w:rPr>
          <w:rFonts w:ascii="Times New Roman" w:cs="Times New Roman" w:hAnsi="Times New Roman" w:eastAsia="Times New Roman"/>
        </w:rPr>
      </w:pPr>
      <w:r>
        <w:rPr>
          <w:rFonts w:ascii="Times New Roman" w:hAnsi="Times New Roman"/>
          <w:rtl w:val="0"/>
          <w:lang w:val="en-US"/>
        </w:rPr>
        <w:t xml:space="preserve">For more information on Mongrel Empire Press or to obtain review copies of this title and others, contact the Press by sending an email from the web site: </w:t>
      </w:r>
      <w:r>
        <w:rPr>
          <w:rStyle w:val="Hyperlink.0"/>
          <w:rFonts w:ascii="Times New Roman" w:cs="Times New Roman" w:hAnsi="Times New Roman" w:eastAsia="Times New Roman"/>
        </w:rPr>
        <w:fldChar w:fldCharType="begin" w:fldLock="0"/>
      </w:r>
      <w:r>
        <w:rPr>
          <w:rStyle w:val="Hyperlink.0"/>
          <w:rFonts w:ascii="Times New Roman" w:cs="Times New Roman" w:hAnsi="Times New Roman" w:eastAsia="Times New Roman"/>
        </w:rPr>
        <w:instrText xml:space="preserve"> HYPERLINK "http://www.mongrelempirepress.org"</w:instrText>
      </w:r>
      <w:r>
        <w:rPr>
          <w:rStyle w:val="Hyperlink.0"/>
          <w:rFonts w:ascii="Times New Roman" w:cs="Times New Roman" w:hAnsi="Times New Roman" w:eastAsia="Times New Roman"/>
        </w:rPr>
        <w:fldChar w:fldCharType="separate" w:fldLock="0"/>
      </w:r>
      <w:r>
        <w:rPr>
          <w:rStyle w:val="Hyperlink.0"/>
          <w:rFonts w:ascii="Times New Roman" w:hAnsi="Times New Roman"/>
          <w:rtl w:val="0"/>
        </w:rPr>
        <w:t>www.mongrelempirepress.org</w:t>
      </w:r>
      <w:r>
        <w:rPr>
          <w:rFonts w:ascii="Times New Roman" w:cs="Times New Roman" w:hAnsi="Times New Roman" w:eastAsia="Times New Roman"/>
        </w:rPr>
        <w:fldChar w:fldCharType="end" w:fldLock="0"/>
      </w:r>
      <w:r>
        <w:rPr>
          <w:rFonts w:ascii="Times New Roman" w:hAnsi="Times New Roman"/>
          <w:rtl w:val="0"/>
          <w:lang w:val="en-US"/>
        </w:rPr>
        <w:t>. Mongrel Empire Press titles are available from the Press, the authors, most online bookstores, and selected independent bookstores. Booksellers and gift shops will find Mongrel Empire Press books available through Ingram and Baker &amp; Taylor (all MEP titles are wholesaled at full trade discount, and are returnable). Print-suitable author and book cover images are available on request.</w:t>
      </w:r>
    </w:p>
    <w:p>
      <w:pPr>
        <w:pStyle w:val="Body"/>
        <w:rPr>
          <w:rFonts w:ascii="Times New Roman" w:cs="Times New Roman" w:hAnsi="Times New Roman" w:eastAsia="Times New Roman"/>
          <w:i w:val="1"/>
          <w:iCs w:val="1"/>
        </w:rPr>
      </w:pPr>
    </w:p>
    <w:p>
      <w:pPr>
        <w:pStyle w:val="Body"/>
        <w:keepNext w:val="1"/>
        <w:rPr>
          <w:rFonts w:ascii="Times New Roman" w:cs="Times New Roman" w:hAnsi="Times New Roman" w:eastAsia="Times New Roman"/>
          <w:b w:val="1"/>
          <w:bCs w:val="1"/>
        </w:rPr>
      </w:pPr>
      <w:r>
        <w:rPr>
          <w:rFonts w:ascii="Times New Roman" w:hAnsi="Times New Roman"/>
          <w:b w:val="1"/>
          <w:bCs w:val="1"/>
          <w:rtl w:val="0"/>
          <w:lang w:val="en-US"/>
        </w:rPr>
        <w:t>About Mongrel Empire Press</w:t>
      </w:r>
    </w:p>
    <w:p>
      <w:pPr>
        <w:pStyle w:val="Body"/>
        <w:rPr>
          <w:rFonts w:ascii="Times New Roman" w:cs="Times New Roman" w:hAnsi="Times New Roman" w:eastAsia="Times New Roman"/>
        </w:rPr>
      </w:pPr>
      <w:r>
        <w:rPr>
          <w:rFonts w:ascii="Times New Roman" w:hAnsi="Times New Roman"/>
          <w:rtl w:val="0"/>
          <w:lang w:val="en-US"/>
        </w:rPr>
        <w:t>Mongrel Empire Press was established in 2007 with a mission to publish well-written, thoughtfully-considered works across generic and disciplinary boundaries. The Press actively identifies and promotes Oklahoma and regional writers while at the same time making room for outside the region works that, because of their mixed generic, disciplinary, and philosophical approaches, cannot find a home at other presses that have a more narrowly defined mission.</w:t>
      </w:r>
    </w:p>
    <w:p>
      <w:pPr>
        <w:pStyle w:val="Body"/>
        <w:rPr>
          <w:rFonts w:ascii="Times New Roman" w:cs="Times New Roman" w:hAnsi="Times New Roman" w:eastAsia="Times New Roman"/>
        </w:rPr>
      </w:pPr>
    </w:p>
    <w:p>
      <w:pPr>
        <w:pStyle w:val="Body"/>
        <w:rPr>
          <w:rFonts w:ascii="Times New Roman" w:cs="Times New Roman" w:hAnsi="Times New Roman" w:eastAsia="Times New Roman"/>
        </w:rPr>
      </w:pPr>
      <w:r>
        <w:rPr>
          <w:rFonts w:ascii="Times New Roman" w:hAnsi="Times New Roman"/>
          <w:rtl w:val="0"/>
          <w:lang w:val="en-US"/>
        </w:rPr>
        <w:t>Contact:</w:t>
      </w:r>
    </w:p>
    <w:p>
      <w:pPr>
        <w:pStyle w:val="Body"/>
        <w:rPr>
          <w:rFonts w:ascii="Times New Roman" w:cs="Times New Roman" w:hAnsi="Times New Roman" w:eastAsia="Times New Roman"/>
        </w:rPr>
      </w:pPr>
      <w:r>
        <w:rPr>
          <w:rFonts w:ascii="Times New Roman" w:hAnsi="Times New Roman"/>
          <w:rtl w:val="0"/>
          <w:lang w:val="pt-PT"/>
        </w:rPr>
        <w:t>Jeanetta Calhoun Mish, Editor</w:t>
      </w:r>
    </w:p>
    <w:p>
      <w:pPr>
        <w:pStyle w:val="Body"/>
        <w:rPr>
          <w:rFonts w:ascii="Times New Roman" w:cs="Times New Roman" w:hAnsi="Times New Roman" w:eastAsia="Times New Roman"/>
        </w:rPr>
      </w:pPr>
      <w:r>
        <w:rPr>
          <w:rFonts w:ascii="Times New Roman" w:hAnsi="Times New Roman"/>
          <w:rtl w:val="0"/>
          <w:lang w:val="it-IT"/>
        </w:rPr>
        <w:t>Mongrel Empire Press</w:t>
      </w:r>
    </w:p>
    <w:p>
      <w:pPr>
        <w:pStyle w:val="Body"/>
        <w:rPr>
          <w:rFonts w:ascii="Times New Roman" w:cs="Times New Roman" w:hAnsi="Times New Roman" w:eastAsia="Times New Roman"/>
        </w:rPr>
      </w:pPr>
      <w:r>
        <w:rPr>
          <w:rFonts w:ascii="Times New Roman" w:hAnsi="Times New Roman"/>
          <w:rtl w:val="0"/>
          <w:lang w:val="it-IT"/>
        </w:rPr>
        <w:t>mongrel@mongrelempire.org</w:t>
      </w:r>
    </w:p>
    <w:p>
      <w:pPr>
        <w:pStyle w:val="Body"/>
        <w:rPr>
          <w:rFonts w:ascii="Times New Roman" w:cs="Times New Roman" w:hAnsi="Times New Roman" w:eastAsia="Times New Roman"/>
        </w:rPr>
      </w:pPr>
      <w:r>
        <w:rPr>
          <w:rFonts w:ascii="Times New Roman" w:hAnsi="Times New Roman"/>
          <w:rtl w:val="0"/>
          <w:lang w:val="en-US"/>
        </w:rPr>
        <w:t>http://www.mongrelempirepress.org</w:t>
      </w:r>
    </w:p>
    <w:sectPr>
      <w:headerReference w:type="default" r:id="rId4"/>
      <w:footerReference w:type="default" r:id="rId5"/>
      <w:pgSz w:w="12240" w:h="15840" w:orient="portrait"/>
      <w:pgMar w:top="1080" w:right="1440" w:bottom="108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Cambria">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mbria" w:cs="Cambria" w:hAnsi="Cambria" w:eastAsia="Cambria"/>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character" w:styleId="Link">
    <w:name w:val="Link"/>
    <w:rPr>
      <w:color w:val="0000ff"/>
      <w:u w:val="single" w:color="0000ff"/>
    </w:rPr>
  </w:style>
  <w:style w:type="character" w:styleId="Hyperlink.0">
    <w:name w:val="Hyperlink.0"/>
    <w:basedOn w:val="Link"/>
    <w:next w:val="Hyperlink.0"/>
    <w:rPr>
      <w:rFonts w:ascii="Times New Roman" w:cs="Times New Roman" w:hAnsi="Times New Roman" w:eastAsia="Times New Roman"/>
      <w:sz w:val="24"/>
      <w:szCs w:val="24"/>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000000"/>
            </a:solidFill>
            <a:effectLst/>
            <a:uFill>
              <a:solidFill>
                <a:srgbClr val="000000"/>
              </a:solidFill>
            </a:uFill>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